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9D" w:rsidRPr="005B35C1" w:rsidRDefault="0065449D">
      <w:pPr>
        <w:tabs>
          <w:tab w:val="center" w:pos="4680"/>
        </w:tabs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5B35C1">
        <w:rPr>
          <w:rFonts w:ascii="Arial" w:hAnsi="Arial" w:cs="Arial"/>
          <w:b/>
          <w:bCs/>
          <w:sz w:val="28"/>
          <w:szCs w:val="28"/>
        </w:rPr>
        <w:t xml:space="preserve">APPLICATION FOR THE UNIVERSITY OF TENNESSEE’S </w:t>
      </w:r>
      <w:r w:rsidRPr="005B35C1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SOYBEAN</w:t>
      </w:r>
      <w:r w:rsidRPr="005B35C1">
        <w:rPr>
          <w:rFonts w:ascii="Arial" w:hAnsi="Arial" w:cs="Arial"/>
          <w:b/>
          <w:bCs/>
          <w:sz w:val="28"/>
          <w:szCs w:val="28"/>
        </w:rPr>
        <w:t xml:space="preserve"> VARIETY TESTS</w:t>
      </w:r>
    </w:p>
    <w:p w:rsidR="0065449D" w:rsidRPr="005B35C1" w:rsidRDefault="0065449D" w:rsidP="005B35C1">
      <w:pPr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5B35C1">
        <w:rPr>
          <w:rFonts w:ascii="Arial" w:hAnsi="Arial" w:cs="Arial"/>
          <w:sz w:val="20"/>
          <w:szCs w:val="20"/>
        </w:rPr>
        <w:t xml:space="preserve">   </w:t>
      </w:r>
    </w:p>
    <w:p w:rsidR="0065449D" w:rsidRPr="005B35C1" w:rsidRDefault="0065449D" w:rsidP="005B35C1">
      <w:pPr>
        <w:outlineLvl w:val="0"/>
        <w:rPr>
          <w:rFonts w:ascii="Arial" w:hAnsi="Arial" w:cs="Arial"/>
          <w:sz w:val="20"/>
          <w:szCs w:val="20"/>
        </w:rPr>
      </w:pPr>
      <w:r w:rsidRPr="005B35C1">
        <w:rPr>
          <w:rFonts w:ascii="Arial" w:hAnsi="Arial" w:cs="Arial"/>
          <w:b/>
          <w:bCs/>
          <w:sz w:val="20"/>
          <w:szCs w:val="20"/>
        </w:rPr>
        <w:t>Company or Organization Name</w:t>
      </w:r>
      <w:r w:rsidRPr="005B35C1">
        <w:rPr>
          <w:rFonts w:ascii="Arial" w:hAnsi="Arial" w:cs="Arial"/>
          <w:sz w:val="20"/>
          <w:szCs w:val="20"/>
        </w:rPr>
        <w:t>: __</w:t>
      </w:r>
      <w:r w:rsidR="005B35C1">
        <w:rPr>
          <w:rFonts w:ascii="Arial" w:hAnsi="Arial" w:cs="Arial"/>
          <w:sz w:val="20"/>
          <w:szCs w:val="20"/>
        </w:rPr>
        <w:t>_____________________</w:t>
      </w:r>
      <w:r w:rsidRPr="005B35C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65449D" w:rsidRPr="005B35C1" w:rsidRDefault="0065449D" w:rsidP="005B35C1">
      <w:pPr>
        <w:rPr>
          <w:rFonts w:ascii="Arial" w:hAnsi="Arial" w:cs="Arial"/>
          <w:sz w:val="20"/>
          <w:szCs w:val="20"/>
        </w:rPr>
      </w:pPr>
      <w:r w:rsidRPr="005B35C1">
        <w:rPr>
          <w:rFonts w:ascii="Arial" w:hAnsi="Arial" w:cs="Arial"/>
          <w:sz w:val="20"/>
          <w:szCs w:val="20"/>
        </w:rPr>
        <w:t xml:space="preserve"> </w:t>
      </w:r>
    </w:p>
    <w:p w:rsidR="0065449D" w:rsidRPr="005B35C1" w:rsidRDefault="005B35C1" w:rsidP="005B35C1">
      <w:pPr>
        <w:tabs>
          <w:tab w:val="left" w:pos="-1440"/>
        </w:tabs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65449D" w:rsidRPr="005B35C1">
        <w:rPr>
          <w:rFonts w:ascii="Arial" w:hAnsi="Arial" w:cs="Arial"/>
          <w:b/>
          <w:bCs/>
          <w:sz w:val="20"/>
          <w:szCs w:val="20"/>
        </w:rPr>
        <w:t>nformation provided by</w:t>
      </w:r>
      <w:r w:rsidR="0065449D" w:rsidRPr="005B35C1">
        <w:rPr>
          <w:rFonts w:ascii="Arial" w:hAnsi="Arial" w:cs="Arial"/>
          <w:sz w:val="20"/>
          <w:szCs w:val="20"/>
        </w:rPr>
        <w:t>: _____________________________</w:t>
      </w:r>
      <w:r w:rsidRPr="005B35C1">
        <w:rPr>
          <w:rFonts w:ascii="Arial" w:hAnsi="Arial" w:cs="Arial"/>
          <w:sz w:val="20"/>
          <w:szCs w:val="20"/>
        </w:rPr>
        <w:t>______</w:t>
      </w:r>
      <w:r w:rsidR="0065449D" w:rsidRPr="005B35C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65449D" w:rsidRPr="005B35C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</w:t>
      </w:r>
    </w:p>
    <w:p w:rsidR="0065449D" w:rsidRPr="005B35C1" w:rsidRDefault="0065449D" w:rsidP="005B35C1">
      <w:pPr>
        <w:rPr>
          <w:rFonts w:ascii="Arial" w:hAnsi="Arial" w:cs="Arial"/>
          <w:b/>
          <w:bCs/>
          <w:sz w:val="20"/>
          <w:szCs w:val="20"/>
        </w:rPr>
      </w:pPr>
      <w:r w:rsidRPr="005B35C1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65449D" w:rsidRPr="005B35C1" w:rsidRDefault="0065449D" w:rsidP="005B35C1">
      <w:pPr>
        <w:rPr>
          <w:rFonts w:ascii="Arial" w:hAnsi="Arial" w:cs="Arial"/>
          <w:sz w:val="20"/>
          <w:szCs w:val="20"/>
        </w:rPr>
      </w:pPr>
      <w:r w:rsidRPr="005B35C1">
        <w:rPr>
          <w:rFonts w:ascii="Arial" w:hAnsi="Arial" w:cs="Arial"/>
          <w:b/>
          <w:bCs/>
          <w:sz w:val="20"/>
          <w:szCs w:val="20"/>
        </w:rPr>
        <w:t>Phone no.</w:t>
      </w:r>
      <w:r w:rsidR="005B05F2">
        <w:rPr>
          <w:rFonts w:ascii="Arial" w:hAnsi="Arial" w:cs="Arial"/>
          <w:sz w:val="20"/>
          <w:szCs w:val="20"/>
        </w:rPr>
        <w:t xml:space="preserve">: </w:t>
      </w:r>
      <w:r w:rsidR="005B05F2" w:rsidRPr="005B05F2">
        <w:rPr>
          <w:rFonts w:ascii="Arial" w:hAnsi="Arial" w:cs="Arial"/>
          <w:sz w:val="20"/>
          <w:szCs w:val="20"/>
        </w:rPr>
        <w:t>_____________</w:t>
      </w:r>
      <w:r w:rsidR="005B05F2">
        <w:rPr>
          <w:rFonts w:ascii="Arial" w:hAnsi="Arial" w:cs="Arial"/>
          <w:sz w:val="20"/>
          <w:szCs w:val="20"/>
        </w:rPr>
        <w:t>_</w:t>
      </w:r>
      <w:r w:rsidRPr="005B35C1">
        <w:rPr>
          <w:rFonts w:ascii="Arial" w:hAnsi="Arial" w:cs="Arial"/>
          <w:sz w:val="20"/>
          <w:szCs w:val="20"/>
        </w:rPr>
        <w:t>_____________________________</w:t>
      </w:r>
      <w:r w:rsidR="005B35C1">
        <w:rPr>
          <w:rFonts w:ascii="Arial" w:hAnsi="Arial" w:cs="Arial"/>
          <w:sz w:val="20"/>
          <w:szCs w:val="20"/>
        </w:rPr>
        <w:t>______</w:t>
      </w:r>
      <w:r w:rsidR="005B05F2" w:rsidRPr="005B35C1">
        <w:rPr>
          <w:rFonts w:ascii="Arial" w:hAnsi="Arial" w:cs="Arial"/>
          <w:sz w:val="20"/>
          <w:szCs w:val="20"/>
        </w:rPr>
        <w:t>_</w:t>
      </w:r>
      <w:r w:rsidR="005B05F2">
        <w:rPr>
          <w:rFonts w:ascii="Arial" w:hAnsi="Arial" w:cs="Arial"/>
          <w:sz w:val="20"/>
          <w:szCs w:val="20"/>
        </w:rPr>
        <w:t xml:space="preserve"> </w:t>
      </w:r>
      <w:r w:rsidR="005B05F2" w:rsidRPr="005B05F2">
        <w:rPr>
          <w:rFonts w:ascii="Arial" w:hAnsi="Arial" w:cs="Arial"/>
          <w:b/>
          <w:sz w:val="20"/>
          <w:szCs w:val="20"/>
        </w:rPr>
        <w:t>Fax</w:t>
      </w:r>
      <w:r w:rsidRPr="005B35C1">
        <w:rPr>
          <w:rFonts w:ascii="Arial" w:hAnsi="Arial" w:cs="Arial"/>
          <w:b/>
          <w:bCs/>
          <w:sz w:val="20"/>
          <w:szCs w:val="20"/>
        </w:rPr>
        <w:t xml:space="preserve"> no.</w:t>
      </w:r>
      <w:r w:rsidR="005B05F2">
        <w:rPr>
          <w:rFonts w:ascii="Arial" w:hAnsi="Arial" w:cs="Arial"/>
          <w:sz w:val="20"/>
          <w:szCs w:val="20"/>
        </w:rPr>
        <w:t xml:space="preserve">: </w:t>
      </w:r>
      <w:r w:rsidR="005B05F2" w:rsidRPr="005B05F2">
        <w:rPr>
          <w:rFonts w:ascii="Arial" w:hAnsi="Arial" w:cs="Arial"/>
          <w:sz w:val="20"/>
          <w:szCs w:val="20"/>
        </w:rPr>
        <w:t>_________</w:t>
      </w:r>
      <w:r w:rsidRPr="005B35C1">
        <w:rPr>
          <w:rFonts w:ascii="Arial" w:hAnsi="Arial" w:cs="Arial"/>
          <w:sz w:val="20"/>
          <w:szCs w:val="20"/>
        </w:rPr>
        <w:t>___________________________________________________</w:t>
      </w:r>
      <w:r w:rsidR="005B35C1" w:rsidRPr="005B35C1">
        <w:rPr>
          <w:rFonts w:ascii="Arial" w:hAnsi="Arial" w:cs="Arial"/>
          <w:sz w:val="20"/>
          <w:szCs w:val="20"/>
        </w:rPr>
        <w:t>_____</w:t>
      </w:r>
      <w:r w:rsidRPr="005B35C1">
        <w:rPr>
          <w:rFonts w:ascii="Arial" w:hAnsi="Arial" w:cs="Arial"/>
          <w:sz w:val="20"/>
          <w:szCs w:val="20"/>
        </w:rPr>
        <w:t xml:space="preserve">  </w:t>
      </w:r>
      <w:r w:rsidRPr="005B35C1">
        <w:rPr>
          <w:rFonts w:ascii="Arial" w:hAnsi="Arial" w:cs="Arial"/>
          <w:sz w:val="20"/>
          <w:szCs w:val="20"/>
          <w:u w:val="single"/>
        </w:rPr>
        <w:t xml:space="preserve">                    </w:t>
      </w:r>
    </w:p>
    <w:p w:rsidR="0065449D" w:rsidRPr="005B35C1" w:rsidRDefault="0065449D" w:rsidP="005B35C1">
      <w:pPr>
        <w:rPr>
          <w:rFonts w:ascii="Arial" w:hAnsi="Arial" w:cs="Arial"/>
          <w:b/>
          <w:bCs/>
          <w:sz w:val="20"/>
          <w:szCs w:val="20"/>
        </w:rPr>
      </w:pPr>
    </w:p>
    <w:p w:rsidR="0065449D" w:rsidRPr="005B35C1" w:rsidRDefault="0065449D" w:rsidP="005B35C1">
      <w:pPr>
        <w:outlineLvl w:val="0"/>
        <w:rPr>
          <w:rFonts w:ascii="Arial" w:hAnsi="Arial" w:cs="Arial"/>
          <w:sz w:val="20"/>
          <w:szCs w:val="20"/>
        </w:rPr>
      </w:pPr>
      <w:r w:rsidRPr="005B35C1">
        <w:rPr>
          <w:rFonts w:ascii="Arial" w:hAnsi="Arial" w:cs="Arial"/>
          <w:b/>
          <w:bCs/>
          <w:sz w:val="20"/>
          <w:szCs w:val="20"/>
        </w:rPr>
        <w:t>E-mail address</w:t>
      </w:r>
      <w:r w:rsidRPr="005B35C1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</w:t>
      </w:r>
      <w:r w:rsidR="005B35C1">
        <w:rPr>
          <w:rFonts w:ascii="Arial" w:hAnsi="Arial" w:cs="Arial"/>
          <w:sz w:val="20"/>
          <w:szCs w:val="20"/>
        </w:rPr>
        <w:t>________________</w:t>
      </w:r>
    </w:p>
    <w:p w:rsidR="0065449D" w:rsidRPr="005B35C1" w:rsidRDefault="0065449D" w:rsidP="005B35C1">
      <w:pPr>
        <w:rPr>
          <w:rFonts w:ascii="Arial" w:hAnsi="Arial" w:cs="Arial"/>
          <w:sz w:val="20"/>
          <w:szCs w:val="20"/>
        </w:rPr>
      </w:pPr>
    </w:p>
    <w:p w:rsidR="00DC42AF" w:rsidRDefault="0065449D" w:rsidP="005B35C1">
      <w:pPr>
        <w:rPr>
          <w:rFonts w:ascii="Arial" w:hAnsi="Arial" w:cs="Arial"/>
          <w:sz w:val="20"/>
          <w:szCs w:val="20"/>
        </w:rPr>
      </w:pPr>
      <w:r w:rsidRPr="005B35C1">
        <w:rPr>
          <w:rFonts w:ascii="Arial" w:hAnsi="Arial" w:cs="Arial"/>
          <w:b/>
          <w:bCs/>
          <w:sz w:val="20"/>
          <w:szCs w:val="20"/>
        </w:rPr>
        <w:t>Name, address, phone no., and email for producers to contact in order to find out about your company’s varieties and where</w:t>
      </w:r>
      <w:r w:rsidR="00886EDE" w:rsidRPr="005B35C1">
        <w:rPr>
          <w:rFonts w:ascii="Arial" w:hAnsi="Arial" w:cs="Arial"/>
          <w:b/>
          <w:bCs/>
          <w:sz w:val="20"/>
          <w:szCs w:val="20"/>
        </w:rPr>
        <w:t xml:space="preserve"> they can purchase them in TN (</w:t>
      </w:r>
      <w:r w:rsidRPr="005B35C1">
        <w:rPr>
          <w:rFonts w:ascii="Arial" w:hAnsi="Arial" w:cs="Arial"/>
          <w:b/>
          <w:bCs/>
          <w:sz w:val="20"/>
          <w:szCs w:val="20"/>
        </w:rPr>
        <w:t>this contact</w:t>
      </w:r>
      <w:r w:rsidR="005B35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35C1">
        <w:rPr>
          <w:rFonts w:ascii="Arial" w:hAnsi="Arial" w:cs="Arial"/>
          <w:b/>
          <w:bCs/>
          <w:sz w:val="20"/>
          <w:szCs w:val="20"/>
        </w:rPr>
        <w:t>information will be published in our variety test report)</w:t>
      </w:r>
      <w:r w:rsidR="005B35C1">
        <w:rPr>
          <w:rFonts w:ascii="Arial" w:hAnsi="Arial" w:cs="Arial"/>
          <w:sz w:val="20"/>
          <w:szCs w:val="20"/>
        </w:rPr>
        <w:t>:</w:t>
      </w:r>
    </w:p>
    <w:p w:rsidR="00DC42AF" w:rsidRDefault="00DC42AF" w:rsidP="005B35C1">
      <w:pPr>
        <w:rPr>
          <w:rFonts w:ascii="Arial" w:hAnsi="Arial" w:cs="Arial"/>
          <w:sz w:val="20"/>
          <w:szCs w:val="20"/>
        </w:rPr>
      </w:pPr>
    </w:p>
    <w:p w:rsidR="0065449D" w:rsidRPr="005B35C1" w:rsidRDefault="0065449D" w:rsidP="005B35C1">
      <w:pPr>
        <w:rPr>
          <w:rFonts w:ascii="Arial" w:hAnsi="Arial" w:cs="Arial"/>
          <w:b/>
          <w:bCs/>
          <w:sz w:val="20"/>
          <w:szCs w:val="20"/>
        </w:rPr>
      </w:pPr>
      <w:r w:rsidRPr="005B35C1">
        <w:rPr>
          <w:rFonts w:ascii="Arial" w:hAnsi="Arial" w:cs="Arial"/>
          <w:sz w:val="20"/>
          <w:szCs w:val="20"/>
        </w:rPr>
        <w:t>_______________________________</w:t>
      </w:r>
      <w:r w:rsidR="00886EDE" w:rsidRPr="005B35C1">
        <w:rPr>
          <w:rFonts w:ascii="Arial" w:hAnsi="Arial" w:cs="Arial"/>
          <w:sz w:val="20"/>
          <w:szCs w:val="20"/>
        </w:rPr>
        <w:t>__________________________</w:t>
      </w:r>
      <w:r w:rsidR="005B35C1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5449D" w:rsidRPr="005B05F2" w:rsidRDefault="0065449D" w:rsidP="00DC42AF">
      <w:pPr>
        <w:rPr>
          <w:rFonts w:ascii="Arial" w:hAnsi="Arial" w:cs="Arial"/>
          <w:sz w:val="20"/>
          <w:szCs w:val="20"/>
        </w:rPr>
      </w:pPr>
      <w:r w:rsidRPr="005B35C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  <w:u w:val="single"/>
        </w:rPr>
        <w:t xml:space="preserve">      </w:t>
      </w:r>
    </w:p>
    <w:tbl>
      <w:tblPr>
        <w:tblW w:w="4984" w:type="pct"/>
        <w:tblLayout w:type="fixed"/>
        <w:tblLook w:val="0000" w:firstRow="0" w:lastRow="0" w:firstColumn="0" w:lastColumn="0" w:noHBand="0" w:noVBand="0"/>
      </w:tblPr>
      <w:tblGrid>
        <w:gridCol w:w="538"/>
        <w:gridCol w:w="2703"/>
        <w:gridCol w:w="1434"/>
        <w:gridCol w:w="1081"/>
        <w:gridCol w:w="1538"/>
        <w:gridCol w:w="1170"/>
        <w:gridCol w:w="989"/>
        <w:gridCol w:w="719"/>
        <w:gridCol w:w="1075"/>
        <w:gridCol w:w="989"/>
        <w:gridCol w:w="2610"/>
      </w:tblGrid>
      <w:tr w:rsidR="00DC42AF" w:rsidTr="00DC42AF">
        <w:trPr>
          <w:trHeight w:val="7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DC42AF" w:rsidRPr="005B35C1" w:rsidRDefault="00DC42AF" w:rsidP="00593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 w:rsidP="00D57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Previous Designation</w:t>
            </w:r>
          </w:p>
          <w:p w:rsidR="00DC42AF" w:rsidRPr="00DC42AF" w:rsidRDefault="00DC42AF" w:rsidP="006D5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( if any)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Relative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Maturity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DC42AF" w:rsidRPr="005B35C1" w:rsidRDefault="00DC42AF" w:rsidP="00DC42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Herbicide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Tolerance</w:t>
            </w:r>
          </w:p>
          <w:p w:rsidR="00DC42AF" w:rsidRPr="005B35C1" w:rsidRDefault="00DC42AF" w:rsidP="009F5E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(RR, RR2, R2X,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LL, STS</w:t>
            </w: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Resistant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to SCN</w:t>
            </w:r>
          </w:p>
          <w:p w:rsidR="00DC42AF" w:rsidRPr="005B35C1" w:rsidRDefault="00DC42AF" w:rsidP="00143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Race(s)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Stem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Canker</w:t>
            </w:r>
          </w:p>
          <w:p w:rsidR="00DC42AF" w:rsidRPr="005B35C1" w:rsidRDefault="00DC42AF" w:rsidP="00F83E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(R or S)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SDS</w:t>
            </w:r>
          </w:p>
          <w:p w:rsidR="00DC42AF" w:rsidRPr="005B35C1" w:rsidRDefault="00DC42AF" w:rsidP="00971B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(R or S)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Frogeye</w:t>
            </w:r>
          </w:p>
          <w:p w:rsidR="00DC42AF" w:rsidRPr="005B35C1" w:rsidRDefault="00DC42AF" w:rsidP="00D14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(R or S)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 w:rsidP="00CD7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Flower (P or W)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Pubes.</w:t>
            </w:r>
          </w:p>
          <w:p w:rsidR="00DC42AF" w:rsidRPr="005B35C1" w:rsidRDefault="00DC42AF" w:rsidP="00CD7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(T or G)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Fungicide(s) &amp;</w:t>
            </w:r>
          </w:p>
          <w:p w:rsidR="00DC42AF" w:rsidRPr="005B35C1" w:rsidRDefault="00DC42A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Insecticide(s) </w:t>
            </w:r>
          </w:p>
          <w:p w:rsidR="00DC42AF" w:rsidRPr="005B35C1" w:rsidRDefault="00DC42AF" w:rsidP="00CD7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Treatments on seed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42AF" w:rsidTr="00DC42AF">
        <w:trPr>
          <w:trHeight w:val="2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5C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2AF" w:rsidRPr="005B35C1" w:rsidRDefault="00DC42A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5B3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449D" w:rsidRDefault="0065449D" w:rsidP="005B35C1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5B35C1" w:rsidRPr="005B35C1" w:rsidRDefault="005B35C1" w:rsidP="005B35C1">
      <w:pPr>
        <w:pStyle w:val="BodyText"/>
      </w:pPr>
      <w:r>
        <w:rPr>
          <w:vertAlign w:val="superscript"/>
        </w:rPr>
        <w:t xml:space="preserve"> </w:t>
      </w:r>
      <w:r w:rsidRPr="005B35C1">
        <w:rPr>
          <w:vertAlign w:val="superscript"/>
        </w:rPr>
        <w:t>1</w:t>
      </w:r>
      <w:r w:rsidRPr="005B35C1">
        <w:t>If the entry was previously tested under an experimental number or different name, please list the old designation in addition to the new name or designation.</w:t>
      </w:r>
    </w:p>
    <w:p w:rsidR="0065449D" w:rsidRDefault="005B35C1" w:rsidP="005B3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2</w:t>
      </w:r>
      <w:r w:rsidR="0065449D">
        <w:rPr>
          <w:rFonts w:ascii="Arial" w:hAnsi="Arial" w:cs="Arial"/>
          <w:sz w:val="20"/>
          <w:szCs w:val="20"/>
        </w:rPr>
        <w:t>Example: 3.5, 4.1, 4.6, 5.3, etc.</w:t>
      </w:r>
    </w:p>
    <w:p w:rsidR="005B35C1" w:rsidRDefault="0065449D" w:rsidP="005B35C1">
      <w:pPr>
        <w:ind w:left="-1080"/>
        <w:rPr>
          <w:rFonts w:ascii="Arial" w:hAnsi="Arial" w:cs="Arial"/>
          <w:sz w:val="20"/>
          <w:szCs w:val="20"/>
          <w:vertAlign w:val="superscript"/>
        </w:rPr>
      </w:pPr>
      <w:r w:rsidRPr="005B35C1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</w:p>
    <w:p w:rsidR="0065449D" w:rsidRPr="005B35C1" w:rsidRDefault="00D72DFF" w:rsidP="005B35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Tests will be broken out by maturity group, with entries assigned to either MG 3, MG 4 early (</w:t>
      </w:r>
      <w:r w:rsidR="0065449D" w:rsidRPr="005B35C1">
        <w:rPr>
          <w:rFonts w:ascii="Arial" w:hAnsi="Arial" w:cs="Arial"/>
          <w:b/>
          <w:sz w:val="20"/>
          <w:szCs w:val="20"/>
        </w:rPr>
        <w:t>4.0-4.5), MG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449D" w:rsidRPr="005B35C1">
        <w:rPr>
          <w:rFonts w:ascii="Arial" w:hAnsi="Arial" w:cs="Arial"/>
          <w:b/>
          <w:sz w:val="20"/>
          <w:szCs w:val="20"/>
        </w:rPr>
        <w:t>4 late (4.6-4.9),</w:t>
      </w:r>
      <w:r w:rsidR="005B35C1" w:rsidRPr="005B35C1">
        <w:rPr>
          <w:rFonts w:ascii="Arial" w:hAnsi="Arial" w:cs="Arial"/>
          <w:b/>
          <w:sz w:val="20"/>
          <w:szCs w:val="20"/>
        </w:rPr>
        <w:t xml:space="preserve"> </w:t>
      </w:r>
      <w:r w:rsidR="0065449D" w:rsidRPr="005B35C1">
        <w:rPr>
          <w:rFonts w:ascii="Arial" w:hAnsi="Arial" w:cs="Arial"/>
          <w:b/>
          <w:sz w:val="20"/>
          <w:szCs w:val="20"/>
        </w:rPr>
        <w:t>MG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449D" w:rsidRPr="005B35C1">
        <w:rPr>
          <w:rFonts w:ascii="Arial" w:hAnsi="Arial" w:cs="Arial"/>
          <w:b/>
          <w:sz w:val="20"/>
          <w:szCs w:val="20"/>
        </w:rPr>
        <w:t xml:space="preserve">5 early (5.0-5.5), </w:t>
      </w:r>
      <w:r w:rsidR="005B35C1" w:rsidRPr="005B35C1">
        <w:rPr>
          <w:rFonts w:ascii="Arial" w:hAnsi="Arial" w:cs="Arial"/>
          <w:b/>
          <w:sz w:val="20"/>
          <w:szCs w:val="20"/>
        </w:rPr>
        <w:t xml:space="preserve">or </w:t>
      </w:r>
      <w:r w:rsidR="0065449D" w:rsidRPr="005B35C1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449D" w:rsidRPr="005B35C1">
        <w:rPr>
          <w:rFonts w:ascii="Arial" w:hAnsi="Arial" w:cs="Arial"/>
          <w:b/>
          <w:sz w:val="20"/>
          <w:szCs w:val="20"/>
        </w:rPr>
        <w:t>G5 late (5.6-5.9</w:t>
      </w:r>
      <w:r>
        <w:rPr>
          <w:rFonts w:ascii="Arial" w:hAnsi="Arial" w:cs="Arial"/>
          <w:b/>
          <w:sz w:val="20"/>
          <w:szCs w:val="20"/>
        </w:rPr>
        <w:t>.</w:t>
      </w:r>
      <w:r w:rsidR="005B35C1" w:rsidRPr="005B35C1">
        <w:rPr>
          <w:rFonts w:ascii="Arial" w:hAnsi="Arial" w:cs="Arial"/>
          <w:b/>
          <w:sz w:val="20"/>
          <w:szCs w:val="20"/>
        </w:rPr>
        <w:t xml:space="preserve"> T</w:t>
      </w:r>
      <w:r w:rsidR="0065449D" w:rsidRPr="005B35C1">
        <w:rPr>
          <w:rFonts w:ascii="Arial" w:hAnsi="Arial" w:cs="Arial"/>
          <w:b/>
          <w:sz w:val="20"/>
          <w:szCs w:val="20"/>
        </w:rPr>
        <w:t>est</w:t>
      </w:r>
      <w:r w:rsidR="005B35C1" w:rsidRPr="005B35C1">
        <w:rPr>
          <w:rFonts w:ascii="Arial" w:hAnsi="Arial" w:cs="Arial"/>
          <w:b/>
          <w:sz w:val="20"/>
          <w:szCs w:val="20"/>
        </w:rPr>
        <w:t>s</w:t>
      </w:r>
      <w:r w:rsidR="0065449D" w:rsidRPr="005B35C1">
        <w:rPr>
          <w:rFonts w:ascii="Arial" w:hAnsi="Arial" w:cs="Arial"/>
          <w:b/>
          <w:sz w:val="20"/>
          <w:szCs w:val="20"/>
        </w:rPr>
        <w:t xml:space="preserve"> will be conducted at </w:t>
      </w:r>
      <w:bookmarkStart w:id="0" w:name="_GoBack"/>
      <w:bookmarkEnd w:id="0"/>
      <w:r w:rsidR="0065449D" w:rsidRPr="005B35C1">
        <w:rPr>
          <w:rFonts w:ascii="Arial" w:hAnsi="Arial" w:cs="Arial"/>
          <w:b/>
          <w:sz w:val="20"/>
          <w:szCs w:val="20"/>
        </w:rPr>
        <w:t>f</w:t>
      </w:r>
      <w:r w:rsidR="005B35C1" w:rsidRPr="005B35C1">
        <w:rPr>
          <w:rFonts w:ascii="Arial" w:hAnsi="Arial" w:cs="Arial"/>
          <w:b/>
          <w:sz w:val="20"/>
          <w:szCs w:val="20"/>
        </w:rPr>
        <w:t>our to five</w:t>
      </w:r>
      <w:r w:rsidR="0065449D" w:rsidRPr="005B35C1">
        <w:rPr>
          <w:rFonts w:ascii="Arial" w:hAnsi="Arial" w:cs="Arial"/>
          <w:b/>
          <w:sz w:val="20"/>
          <w:szCs w:val="20"/>
        </w:rPr>
        <w:t xml:space="preserve"> locations</w:t>
      </w:r>
      <w:r w:rsidR="005B35C1" w:rsidRPr="005B35C1">
        <w:rPr>
          <w:rFonts w:ascii="Arial" w:hAnsi="Arial" w:cs="Arial"/>
          <w:b/>
          <w:sz w:val="20"/>
          <w:szCs w:val="20"/>
        </w:rPr>
        <w:t>, with two locations containing both an irrigated and non-irrigated test (i.e. 6-7 environments)</w:t>
      </w:r>
      <w:r w:rsidR="0065449D" w:rsidRPr="005B35C1">
        <w:rPr>
          <w:rFonts w:ascii="Arial" w:hAnsi="Arial" w:cs="Arial"/>
          <w:b/>
          <w:sz w:val="20"/>
          <w:szCs w:val="20"/>
        </w:rPr>
        <w:t xml:space="preserve">  </w:t>
      </w:r>
    </w:p>
    <w:p w:rsidR="0065449D" w:rsidRDefault="0065449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65449D" w:rsidRPr="006044E0" w:rsidRDefault="0065449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044E0">
        <w:rPr>
          <w:rFonts w:ascii="Arial" w:hAnsi="Arial" w:cs="Arial"/>
          <w:sz w:val="20"/>
          <w:szCs w:val="20"/>
        </w:rPr>
        <w:t xml:space="preserve">For each entry </w:t>
      </w:r>
      <w:r w:rsidRPr="006044E0">
        <w:rPr>
          <w:rFonts w:ascii="Arial" w:hAnsi="Arial" w:cs="Arial"/>
          <w:b/>
          <w:bCs/>
          <w:i/>
          <w:iCs/>
          <w:sz w:val="20"/>
          <w:szCs w:val="20"/>
        </w:rPr>
        <w:t xml:space="preserve">supply </w:t>
      </w:r>
      <w:r w:rsidRPr="006044E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10 lbs.</w:t>
      </w:r>
      <w:r w:rsidRPr="006044E0">
        <w:rPr>
          <w:rFonts w:ascii="Arial" w:hAnsi="Arial" w:cs="Arial"/>
          <w:b/>
          <w:bCs/>
          <w:i/>
          <w:iCs/>
          <w:sz w:val="20"/>
          <w:szCs w:val="20"/>
        </w:rPr>
        <w:t xml:space="preserve"> of seed</w:t>
      </w:r>
      <w:r w:rsidRPr="006044E0">
        <w:rPr>
          <w:rFonts w:ascii="Arial" w:hAnsi="Arial" w:cs="Arial"/>
          <w:sz w:val="20"/>
          <w:szCs w:val="20"/>
        </w:rPr>
        <w:t>.</w:t>
      </w:r>
    </w:p>
    <w:p w:rsidR="0065449D" w:rsidRPr="006044E0" w:rsidRDefault="0065449D">
      <w:pPr>
        <w:jc w:val="both"/>
        <w:rPr>
          <w:rFonts w:ascii="Arial" w:hAnsi="Arial" w:cs="Arial"/>
          <w:sz w:val="20"/>
          <w:szCs w:val="20"/>
        </w:rPr>
      </w:pPr>
    </w:p>
    <w:p w:rsidR="0065449D" w:rsidRPr="006044E0" w:rsidRDefault="0065449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044E0">
        <w:rPr>
          <w:rFonts w:ascii="Arial" w:hAnsi="Arial" w:cs="Arial"/>
          <w:sz w:val="20"/>
          <w:szCs w:val="20"/>
        </w:rPr>
        <w:t xml:space="preserve">Seed of each entry </w:t>
      </w:r>
      <w:r w:rsidR="005B05F2" w:rsidRPr="005B05F2">
        <w:rPr>
          <w:rFonts w:ascii="Arial" w:hAnsi="Arial" w:cs="Arial"/>
          <w:b/>
          <w:bCs/>
          <w:sz w:val="20"/>
          <w:szCs w:val="20"/>
          <w:u w:val="single"/>
        </w:rPr>
        <w:t>SHOULD BE TREATED</w:t>
      </w:r>
      <w:r w:rsidR="005B05F2" w:rsidRPr="005B05F2">
        <w:rPr>
          <w:rFonts w:ascii="Arial" w:hAnsi="Arial" w:cs="Arial"/>
          <w:sz w:val="20"/>
          <w:szCs w:val="20"/>
          <w:u w:val="single"/>
        </w:rPr>
        <w:t xml:space="preserve"> </w:t>
      </w:r>
      <w:r w:rsidR="005B05F2" w:rsidRPr="005B05F2">
        <w:rPr>
          <w:rFonts w:ascii="Arial" w:hAnsi="Arial" w:cs="Arial"/>
          <w:b/>
          <w:bCs/>
          <w:sz w:val="20"/>
          <w:szCs w:val="20"/>
          <w:u w:val="single"/>
        </w:rPr>
        <w:t>WITH A</w:t>
      </w:r>
      <w:r w:rsidR="005B05F2" w:rsidRPr="005B05F2">
        <w:rPr>
          <w:rFonts w:ascii="Arial" w:hAnsi="Arial" w:cs="Arial"/>
          <w:sz w:val="20"/>
          <w:szCs w:val="20"/>
          <w:u w:val="single"/>
        </w:rPr>
        <w:t xml:space="preserve"> </w:t>
      </w:r>
      <w:r w:rsidR="005B05F2" w:rsidRPr="005B05F2">
        <w:rPr>
          <w:rFonts w:ascii="Arial" w:hAnsi="Arial" w:cs="Arial"/>
          <w:b/>
          <w:bCs/>
          <w:sz w:val="20"/>
          <w:szCs w:val="20"/>
          <w:u w:val="single"/>
        </w:rPr>
        <w:t>FUNGICIDE AND A SYSTEMIC INSECTICIDE</w:t>
      </w:r>
      <w:r w:rsidRPr="005B05F2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65449D" w:rsidRPr="006044E0" w:rsidRDefault="0065449D">
      <w:pPr>
        <w:jc w:val="both"/>
        <w:rPr>
          <w:rFonts w:ascii="Arial" w:hAnsi="Arial" w:cs="Arial"/>
          <w:sz w:val="20"/>
          <w:szCs w:val="20"/>
        </w:rPr>
      </w:pPr>
    </w:p>
    <w:p w:rsidR="0065449D" w:rsidRDefault="0065449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044E0">
        <w:rPr>
          <w:rFonts w:ascii="Arial" w:hAnsi="Arial" w:cs="Arial"/>
          <w:sz w:val="20"/>
          <w:szCs w:val="20"/>
        </w:rPr>
        <w:t xml:space="preserve">Application Deadline: </w:t>
      </w:r>
      <w:r w:rsidR="006044E0" w:rsidRPr="006044E0">
        <w:rPr>
          <w:rFonts w:ascii="Arial" w:hAnsi="Arial" w:cs="Arial"/>
          <w:b/>
          <w:bCs/>
          <w:sz w:val="20"/>
          <w:szCs w:val="20"/>
          <w:highlight w:val="yellow"/>
        </w:rPr>
        <w:t xml:space="preserve">March </w:t>
      </w:r>
      <w:proofErr w:type="gramStart"/>
      <w:r w:rsidR="006044E0" w:rsidRPr="006044E0">
        <w:rPr>
          <w:rFonts w:ascii="Arial" w:hAnsi="Arial" w:cs="Arial"/>
          <w:b/>
          <w:bCs/>
          <w:sz w:val="20"/>
          <w:szCs w:val="20"/>
          <w:highlight w:val="yellow"/>
        </w:rPr>
        <w:t>1</w:t>
      </w:r>
      <w:r w:rsidR="006044E0" w:rsidRPr="006044E0">
        <w:rPr>
          <w:rFonts w:ascii="Arial" w:hAnsi="Arial" w:cs="Arial"/>
          <w:b/>
          <w:bCs/>
          <w:sz w:val="20"/>
          <w:szCs w:val="20"/>
          <w:highlight w:val="yellow"/>
          <w:vertAlign w:val="superscript"/>
        </w:rPr>
        <w:t>st</w:t>
      </w:r>
      <w:r w:rsidRPr="006044E0">
        <w:rPr>
          <w:rFonts w:ascii="Arial" w:hAnsi="Arial" w:cs="Arial"/>
          <w:sz w:val="20"/>
          <w:szCs w:val="20"/>
        </w:rPr>
        <w:t xml:space="preserve"> </w:t>
      </w:r>
      <w:r w:rsidR="00136259" w:rsidRPr="006044E0">
        <w:rPr>
          <w:rFonts w:ascii="Arial" w:hAnsi="Arial" w:cs="Arial"/>
          <w:sz w:val="20"/>
          <w:szCs w:val="20"/>
        </w:rPr>
        <w:t>;</w:t>
      </w:r>
      <w:proofErr w:type="gramEnd"/>
      <w:r w:rsidR="00136259" w:rsidRPr="006044E0">
        <w:rPr>
          <w:rFonts w:ascii="Arial" w:hAnsi="Arial" w:cs="Arial"/>
          <w:sz w:val="20"/>
          <w:szCs w:val="20"/>
        </w:rPr>
        <w:t xml:space="preserve"> </w:t>
      </w:r>
      <w:r w:rsidRPr="006044E0">
        <w:rPr>
          <w:rFonts w:ascii="Arial" w:hAnsi="Arial" w:cs="Arial"/>
          <w:sz w:val="20"/>
          <w:szCs w:val="20"/>
        </w:rPr>
        <w:t xml:space="preserve">Seed Deadline: </w:t>
      </w:r>
      <w:r w:rsidR="006044E0" w:rsidRPr="006044E0">
        <w:rPr>
          <w:rFonts w:ascii="Arial" w:hAnsi="Arial" w:cs="Arial"/>
          <w:b/>
          <w:bCs/>
          <w:sz w:val="20"/>
          <w:szCs w:val="20"/>
          <w:highlight w:val="yellow"/>
        </w:rPr>
        <w:t>March 24</w:t>
      </w:r>
      <w:r w:rsidR="006044E0" w:rsidRPr="006044E0">
        <w:rPr>
          <w:rFonts w:ascii="Arial" w:hAnsi="Arial" w:cs="Arial"/>
          <w:b/>
          <w:bCs/>
          <w:sz w:val="20"/>
          <w:szCs w:val="20"/>
          <w:highlight w:val="yellow"/>
          <w:vertAlign w:val="superscript"/>
        </w:rPr>
        <w:t>th</w:t>
      </w:r>
    </w:p>
    <w:p w:rsidR="0065449D" w:rsidRDefault="006544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449D" w:rsidRDefault="0065449D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contribution</w:t>
      </w:r>
      <w:r>
        <w:rPr>
          <w:rFonts w:ascii="Arial" w:hAnsi="Arial" w:cs="Arial"/>
          <w:b/>
          <w:bCs/>
          <w:sz w:val="20"/>
          <w:szCs w:val="20"/>
        </w:rPr>
        <w:t xml:space="preserve"> ($500 per entry) and </w:t>
      </w:r>
      <w:r w:rsidRPr="00136259">
        <w:rPr>
          <w:rFonts w:ascii="Arial" w:hAnsi="Arial" w:cs="Arial"/>
          <w:b/>
          <w:bCs/>
          <w:sz w:val="20"/>
          <w:szCs w:val="20"/>
          <w:u w:val="single"/>
        </w:rPr>
        <w:t>seed</w:t>
      </w:r>
      <w:r w:rsidR="001362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6259">
        <w:rPr>
          <w:rFonts w:ascii="Arial" w:hAnsi="Arial" w:cs="Arial"/>
          <w:b/>
          <w:bCs/>
          <w:sz w:val="20"/>
          <w:szCs w:val="20"/>
        </w:rPr>
        <w:t>should</w:t>
      </w:r>
      <w:r>
        <w:rPr>
          <w:rFonts w:ascii="Arial" w:hAnsi="Arial" w:cs="Arial"/>
          <w:b/>
          <w:bCs/>
          <w:sz w:val="20"/>
          <w:szCs w:val="20"/>
        </w:rPr>
        <w:t xml:space="preserve"> be sent to</w:t>
      </w:r>
      <w:r>
        <w:rPr>
          <w:rFonts w:ascii="Arial" w:hAnsi="Arial" w:cs="Arial"/>
          <w:sz w:val="20"/>
          <w:szCs w:val="20"/>
        </w:rPr>
        <w:t>:</w:t>
      </w:r>
    </w:p>
    <w:p w:rsidR="0065449D" w:rsidRDefault="0065449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0939"/>
      </w:tblGrid>
      <w:tr w:rsidR="005B05F2" w:rsidTr="005B05F2">
        <w:tc>
          <w:tcPr>
            <w:tcW w:w="3955" w:type="dxa"/>
          </w:tcPr>
          <w:p w:rsidR="005B05F2" w:rsidRDefault="005B05F2" w:rsidP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R. Sykes</w:t>
            </w:r>
          </w:p>
          <w:p w:rsidR="005B05F2" w:rsidRDefault="005B05F2" w:rsidP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Dept. of Plant Sciences </w:t>
            </w:r>
          </w:p>
          <w:p w:rsidR="005B05F2" w:rsidRDefault="005B05F2" w:rsidP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Tennessee</w:t>
            </w:r>
          </w:p>
          <w:p w:rsidR="005B05F2" w:rsidRDefault="005B05F2" w:rsidP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 Joe Johnson Drive Rm 252</w:t>
            </w:r>
          </w:p>
          <w:p w:rsidR="005B05F2" w:rsidRDefault="005B05F2" w:rsidP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Knoxville, TN  37996-4561</w:t>
            </w:r>
          </w:p>
        </w:tc>
        <w:tc>
          <w:tcPr>
            <w:tcW w:w="10939" w:type="dxa"/>
          </w:tcPr>
          <w:p w:rsidR="005B05F2" w:rsidRDefault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865-974-7285 (office), 757-407-5160 (cell)</w:t>
            </w:r>
          </w:p>
          <w:p w:rsidR="005B05F2" w:rsidRDefault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865-974-1947</w:t>
            </w:r>
          </w:p>
          <w:p w:rsidR="005B05F2" w:rsidRDefault="005B0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vsykes@utk.edu</w:t>
            </w:r>
          </w:p>
        </w:tc>
      </w:tr>
    </w:tbl>
    <w:p w:rsidR="0065449D" w:rsidRDefault="0065449D" w:rsidP="005B05F2">
      <w:pPr>
        <w:jc w:val="both"/>
        <w:rPr>
          <w:rFonts w:ascii="Arial" w:hAnsi="Arial" w:cs="Arial"/>
          <w:sz w:val="20"/>
          <w:szCs w:val="20"/>
        </w:rPr>
      </w:pPr>
    </w:p>
    <w:sectPr w:rsidR="0065449D">
      <w:endnotePr>
        <w:numFmt w:val="decimal"/>
      </w:endnotePr>
      <w:pgSz w:w="15840" w:h="12240" w:orient="landscape"/>
      <w:pgMar w:top="360" w:right="576" w:bottom="450" w:left="360" w:header="57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60"/>
    <w:rsid w:val="00136259"/>
    <w:rsid w:val="00316E53"/>
    <w:rsid w:val="0038602C"/>
    <w:rsid w:val="003D24BF"/>
    <w:rsid w:val="005B05F2"/>
    <w:rsid w:val="005B35C1"/>
    <w:rsid w:val="006044E0"/>
    <w:rsid w:val="0065449D"/>
    <w:rsid w:val="00672582"/>
    <w:rsid w:val="00886EDE"/>
    <w:rsid w:val="00937E40"/>
    <w:rsid w:val="00CD7860"/>
    <w:rsid w:val="00D72DFF"/>
    <w:rsid w:val="00D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DE26E-18F1-4EB3-B46F-553CC8BE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5B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UNIVERSITY OF TENNESSEE’S SOYBEAN VARIETY TESTS</vt:lpstr>
    </vt:vector>
  </TitlesOfParts>
  <Company>UT Plant Sciences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UNIVERSITY OF TENNESSEE’S SOYBEAN VARIETY TESTS</dc:title>
  <dc:subject/>
  <dc:creator>Dr. Fred Allen</dc:creator>
  <cp:keywords/>
  <dc:description/>
  <cp:lastModifiedBy>Sykes, Virginia Roseanna</cp:lastModifiedBy>
  <cp:revision>5</cp:revision>
  <cp:lastPrinted>2009-02-03T18:48:00Z</cp:lastPrinted>
  <dcterms:created xsi:type="dcterms:W3CDTF">2017-01-30T16:04:00Z</dcterms:created>
  <dcterms:modified xsi:type="dcterms:W3CDTF">2017-02-14T15:49:00Z</dcterms:modified>
</cp:coreProperties>
</file>